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C4" w:rsidRPr="00922E7F" w:rsidRDefault="00926FAD" w:rsidP="00922E7F">
      <w:pPr>
        <w:spacing w:after="0" w:line="240" w:lineRule="auto"/>
        <w:ind w:left="851"/>
        <w:jc w:val="center"/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</w:pPr>
      <w:r w:rsidRPr="00922E7F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Tabla de aplicabilidad de las Obligaciones de transparencia </w:t>
      </w:r>
      <w:r w:rsidR="0091347C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comunes 2016</w:t>
      </w:r>
      <w:r w:rsidR="0055046B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 de la Secretaría de Gobierno</w:t>
      </w:r>
    </w:p>
    <w:p w:rsidR="00554264" w:rsidRDefault="00554264" w:rsidP="00667E9A">
      <w:pPr>
        <w:spacing w:after="0" w:line="240" w:lineRule="auto"/>
        <w:ind w:left="851"/>
        <w:jc w:val="both"/>
        <w:rPr>
          <w:i/>
        </w:rPr>
      </w:pPr>
    </w:p>
    <w:p w:rsidR="00667E9A" w:rsidRDefault="00667E9A" w:rsidP="00667E9A">
      <w:pPr>
        <w:spacing w:after="0" w:line="240" w:lineRule="auto"/>
        <w:ind w:left="851"/>
        <w:jc w:val="both"/>
        <w:rPr>
          <w:rFonts w:ascii="Calibri" w:eastAsia="Times New Roman" w:hAnsi="Calibri" w:cs="Times New Roman"/>
          <w:b/>
          <w:bCs/>
          <w:color w:val="60497A"/>
        </w:rPr>
      </w:pPr>
      <w:r w:rsidRPr="00554264">
        <w:rPr>
          <w:rFonts w:ascii="Calibri" w:eastAsia="Times New Roman" w:hAnsi="Calibri" w:cs="Times New Roman"/>
          <w:b/>
          <w:bCs/>
          <w:i/>
          <w:color w:val="60497A"/>
          <w:sz w:val="24"/>
          <w:szCs w:val="24"/>
        </w:rPr>
        <w:t>Artículo 70.</w:t>
      </w:r>
      <w:r>
        <w:rPr>
          <w:i/>
        </w:rPr>
        <w:t xml:space="preserve"> </w:t>
      </w:r>
      <w:r w:rsidRPr="00667E9A">
        <w:rPr>
          <w:i/>
        </w:rPr>
        <w:t>En la Ley Federal y de las Entidades Federativas se contemplará que los sujetos obligados pongan a disposición del público y mantengan actualizada, en los respectivos medios electrónicos, de acuerdo con sus facultades, atribuciones, funciones u objeto social, según corresponda, la información, por lo menos, de los temas, documentos y políticas que a continuación se señalan:</w:t>
      </w:r>
      <w:r w:rsidRPr="00BC0E34">
        <w:rPr>
          <w:rFonts w:ascii="Calibri" w:eastAsia="Times New Roman" w:hAnsi="Calibri" w:cs="Times New Roman"/>
          <w:b/>
          <w:bCs/>
          <w:color w:val="60497A"/>
        </w:rPr>
        <w:t xml:space="preserve"> </w:t>
      </w:r>
    </w:p>
    <w:p w:rsidR="00864C64" w:rsidRDefault="00864C64" w:rsidP="00667E9A">
      <w:pPr>
        <w:spacing w:after="0" w:line="240" w:lineRule="auto"/>
        <w:ind w:left="851"/>
        <w:jc w:val="both"/>
        <w:rPr>
          <w:rFonts w:ascii="Calibri" w:eastAsia="Times New Roman" w:hAnsi="Calibri" w:cs="Times New Roman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965"/>
        <w:gridCol w:w="1467"/>
        <w:gridCol w:w="1467"/>
        <w:gridCol w:w="752"/>
        <w:gridCol w:w="2945"/>
        <w:gridCol w:w="2866"/>
        <w:gridCol w:w="2684"/>
      </w:tblGrid>
      <w:tr w:rsidR="00951EA4" w:rsidRPr="00864C64" w:rsidTr="0091347C">
        <w:trPr>
          <w:trHeight w:val="132"/>
          <w:tblHeader/>
        </w:trPr>
        <w:tc>
          <w:tcPr>
            <w:tcW w:w="367" w:type="pct"/>
            <w:vMerge w:val="restart"/>
            <w:shd w:val="clear" w:color="000000" w:fill="60497A"/>
            <w:vAlign w:val="center"/>
            <w:hideMark/>
          </w:tcPr>
          <w:p w:rsidR="00951EA4" w:rsidRPr="00864C64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Orden de gobierno</w:t>
            </w:r>
          </w:p>
        </w:tc>
        <w:tc>
          <w:tcPr>
            <w:tcW w:w="558" w:type="pct"/>
            <w:vMerge w:val="restart"/>
            <w:shd w:val="clear" w:color="000000" w:fill="60497A"/>
            <w:vAlign w:val="center"/>
            <w:hideMark/>
          </w:tcPr>
          <w:p w:rsidR="00951EA4" w:rsidRPr="00864C64" w:rsidRDefault="00A83D2C" w:rsidP="00A83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</w:t>
            </w:r>
            <w:r w:rsidR="00951EA4" w:rsidRPr="00864C6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oder de gobierno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o ámbito al que pertenece</w:t>
            </w:r>
          </w:p>
        </w:tc>
        <w:tc>
          <w:tcPr>
            <w:tcW w:w="558" w:type="pct"/>
            <w:vMerge w:val="restart"/>
            <w:shd w:val="clear" w:color="000000" w:fill="60497A"/>
            <w:vAlign w:val="center"/>
            <w:hideMark/>
          </w:tcPr>
          <w:p w:rsidR="00951EA4" w:rsidRPr="00864C64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Tipo de sujeto obligado</w:t>
            </w:r>
          </w:p>
          <w:p w:rsidR="00951EA4" w:rsidRPr="00864C64" w:rsidRDefault="00951EA4" w:rsidP="00A83D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02" w:type="pct"/>
            <w:gridSpan w:val="4"/>
            <w:shd w:val="clear" w:color="000000" w:fill="60497A"/>
            <w:vAlign w:val="center"/>
            <w:hideMark/>
          </w:tcPr>
          <w:p w:rsidR="00951EA4" w:rsidRPr="00864C64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LGTAIP</w:t>
            </w:r>
          </w:p>
        </w:tc>
      </w:tr>
      <w:tr w:rsidR="00B2460F" w:rsidRPr="00864C64" w:rsidTr="0091347C">
        <w:trPr>
          <w:trHeight w:val="1334"/>
          <w:tblHeader/>
        </w:trPr>
        <w:tc>
          <w:tcPr>
            <w:tcW w:w="367" w:type="pct"/>
            <w:vMerge/>
            <w:vAlign w:val="center"/>
            <w:hideMark/>
          </w:tcPr>
          <w:p w:rsidR="00951EA4" w:rsidRPr="00864C64" w:rsidRDefault="00951EA4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:rsidR="00951EA4" w:rsidRPr="00864C64" w:rsidRDefault="00951EA4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60497A"/>
            <w:vAlign w:val="center"/>
            <w:hideMark/>
          </w:tcPr>
          <w:p w:rsidR="00951EA4" w:rsidRPr="00864C64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06" w:type="pct"/>
            <w:gridSpan w:val="2"/>
            <w:shd w:val="clear" w:color="000000" w:fill="60497A"/>
            <w:vAlign w:val="center"/>
            <w:hideMark/>
          </w:tcPr>
          <w:p w:rsidR="00951EA4" w:rsidRPr="00864C64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Fracción</w:t>
            </w:r>
          </w:p>
        </w:tc>
        <w:tc>
          <w:tcPr>
            <w:tcW w:w="1090" w:type="pct"/>
            <w:shd w:val="clear" w:color="000000" w:fill="60497A"/>
            <w:vAlign w:val="center"/>
            <w:hideMark/>
          </w:tcPr>
          <w:p w:rsidR="00951EA4" w:rsidRPr="00864C64" w:rsidRDefault="00951EA4" w:rsidP="00534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Aplicabilidad</w:t>
            </w:r>
          </w:p>
        </w:tc>
        <w:tc>
          <w:tcPr>
            <w:tcW w:w="1006" w:type="pct"/>
            <w:shd w:val="clear" w:color="000000" w:fill="60497A"/>
            <w:vAlign w:val="center"/>
            <w:hideMark/>
          </w:tcPr>
          <w:p w:rsidR="00951EA4" w:rsidRPr="00864C64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Área(s) o unidad(es) administrativa(s) genera(n) o posee(n) la información</w:t>
            </w:r>
          </w:p>
        </w:tc>
      </w:tr>
      <w:tr w:rsidR="0091347C" w:rsidRPr="00864C64" w:rsidTr="006E4D1D">
        <w:trPr>
          <w:trHeight w:val="1790"/>
        </w:trPr>
        <w:tc>
          <w:tcPr>
            <w:tcW w:w="367" w:type="pct"/>
            <w:vMerge w:val="restart"/>
            <w:shd w:val="clear" w:color="000000" w:fill="FFFFFF"/>
            <w:vAlign w:val="center"/>
            <w:hideMark/>
          </w:tcPr>
          <w:p w:rsidR="0091347C" w:rsidRPr="00864C64" w:rsidRDefault="0091347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Federal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vMerge w:val="restart"/>
            <w:shd w:val="clear" w:color="000000" w:fill="FFFFFF"/>
            <w:vAlign w:val="center"/>
            <w:hideMark/>
          </w:tcPr>
          <w:p w:rsidR="0091347C" w:rsidRPr="00864C64" w:rsidRDefault="0091347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Poder Ejecutivo/Poder Legislativo/ Poder Judicial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Organismos autónomos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Instituciones de educación superior públicas autónomas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Partidos políticos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Autoridades en materia laboral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Sindicatos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864C64" w:rsidRDefault="0091347C" w:rsidP="00111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 w:val="restart"/>
            <w:shd w:val="clear" w:color="000000" w:fill="FFFFFF"/>
            <w:vAlign w:val="center"/>
            <w:hideMark/>
          </w:tcPr>
          <w:p w:rsidR="00A83D2C" w:rsidRPr="00A83D2C" w:rsidRDefault="00A83D2C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A83D2C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lastRenderedPageBreak/>
              <w:t>Para Poder Ejecutivo Federal: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Administración Centralizada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Organismo desconcentrado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Organismo descentralizado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Empresa de Participación - Estatal Mayoritaria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Fideicomiso, Fondo, Mandato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Órganos reguladores coordinados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Empresas productivas del Estado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Subsidiaria</w:t>
            </w:r>
          </w:p>
          <w:p w:rsidR="00A83D2C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Filial</w:t>
            </w:r>
            <w:r w:rsidRPr="00F818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 xml:space="preserve"> </w:t>
            </w:r>
          </w:p>
          <w:p w:rsidR="00423135" w:rsidRDefault="00423135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</w:p>
          <w:p w:rsidR="00A83D2C" w:rsidRPr="00A83D2C" w:rsidRDefault="00A83D2C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A83D2C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Poder Legislativo:</w:t>
            </w:r>
          </w:p>
          <w:p w:rsidR="00A83D2C" w:rsidRPr="00F81885" w:rsidRDefault="00A83D2C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Cámara de Diputados o</w:t>
            </w:r>
          </w:p>
          <w:p w:rsidR="00A83D2C" w:rsidRPr="00F81885" w:rsidRDefault="00A83D2C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Cámara de Senadores</w:t>
            </w:r>
          </w:p>
          <w:p w:rsidR="00A83D2C" w:rsidRDefault="00A83D2C" w:rsidP="00A83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A83D2C" w:rsidRPr="00A83D2C" w:rsidRDefault="00A83D2C" w:rsidP="00A83D2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A83D2C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Poder Judicial:</w:t>
            </w:r>
          </w:p>
          <w:p w:rsidR="00F81885" w:rsidRDefault="00A83D2C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Suprema Corte de Justicia de la Nación</w:t>
            </w:r>
          </w:p>
          <w:p w:rsidR="00A83D2C" w:rsidRDefault="00A83D2C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 xml:space="preserve">Consejo de la Judicatura 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Tribunal Electoral</w:t>
            </w:r>
          </w:p>
          <w:p w:rsidR="00A83D2C" w:rsidRDefault="00A83D2C" w:rsidP="00A83D2C">
            <w:pPr>
              <w:spacing w:after="0" w:line="240" w:lineRule="auto"/>
              <w:rPr>
                <w:sz w:val="20"/>
                <w:szCs w:val="20"/>
              </w:rPr>
            </w:pPr>
          </w:p>
          <w:p w:rsidR="00A83D2C" w:rsidRPr="00A83D2C" w:rsidRDefault="00A83D2C" w:rsidP="00A83D2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A83D2C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Autónomos:</w:t>
            </w:r>
          </w:p>
          <w:p w:rsidR="00A83D2C" w:rsidRDefault="00A83D2C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Autoridad</w:t>
            </w:r>
            <w:r w:rsidRPr="004679B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4679B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electoral</w:t>
            </w:r>
          </w:p>
          <w:p w:rsid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Garante de Derechos Humanos</w:t>
            </w:r>
          </w:p>
          <w:p w:rsidR="00F81885" w:rsidRPr="00F81885" w:rsidRDefault="00F81885" w:rsidP="00F8188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Garante de Acceso a la Informaci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ón</w:t>
            </w:r>
          </w:p>
          <w:p w:rsidR="00F81885" w:rsidRDefault="00F81885" w:rsidP="00F81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F81885" w:rsidRDefault="00F81885" w:rsidP="00F81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F81885" w:rsidRDefault="00F81885" w:rsidP="00F81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F81885" w:rsidRDefault="00F81885" w:rsidP="00F8188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F81885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Instituciones de educación superior dotadas de autonomía</w:t>
            </w:r>
          </w:p>
          <w:p w:rsidR="0091347C" w:rsidRDefault="00F81885" w:rsidP="001112F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</w:pPr>
            <w:r w:rsidRPr="00F818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Instituciones de educación superior dotadas de autonomía</w:t>
            </w:r>
          </w:p>
          <w:p w:rsidR="00423135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423135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423135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Partidos Políticos</w:t>
            </w:r>
          </w:p>
          <w:p w:rsidR="00423135" w:rsidRPr="00423135" w:rsidRDefault="00423135" w:rsidP="0042313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</w:pPr>
            <w:r w:rsidRPr="004231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Partido Nacional</w:t>
            </w:r>
          </w:p>
          <w:p w:rsidR="00423135" w:rsidRPr="00423135" w:rsidRDefault="00423135" w:rsidP="0042313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</w:pPr>
            <w:r w:rsidRPr="004231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Agrupaciones políticas nacionales</w:t>
            </w:r>
          </w:p>
          <w:p w:rsidR="00423135" w:rsidRDefault="00423135" w:rsidP="0042313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</w:pPr>
            <w:r w:rsidRPr="004231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 xml:space="preserve">Personas morales constituidas en asociación civil creadas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 xml:space="preserve">para </w:t>
            </w:r>
            <w:r w:rsidRPr="004231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 xml:space="preserve">postular su candidatura independiente </w:t>
            </w:r>
          </w:p>
          <w:p w:rsidR="00423135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6E4D1D" w:rsidRDefault="006E4D1D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423135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423135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Autoridades en materia laboral</w:t>
            </w:r>
            <w:r w:rsidR="00E81A0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, así como sindicatos</w:t>
            </w:r>
          </w:p>
          <w:p w:rsidR="00423135" w:rsidRDefault="00423135" w:rsidP="00E81A0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</w:pPr>
            <w:r w:rsidRPr="00E81A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 xml:space="preserve">Autoridades  </w:t>
            </w:r>
            <w:r w:rsidR="00E81A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jurisdiccionales</w:t>
            </w:r>
          </w:p>
          <w:p w:rsidR="00E81A04" w:rsidRPr="00E81A04" w:rsidRDefault="00E81A04" w:rsidP="00E81A0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Autoridades administrativas</w:t>
            </w:r>
          </w:p>
          <w:p w:rsidR="00423135" w:rsidRDefault="00423135" w:rsidP="00E81A0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26" w:hanging="126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81A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Sin</w:t>
            </w:r>
            <w:r w:rsidR="00E81A04" w:rsidRPr="00E81A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MX"/>
              </w:rPr>
              <w:t>dicatos</w:t>
            </w:r>
          </w:p>
          <w:p w:rsidR="00423135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423135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91347C" w:rsidRPr="00864C64" w:rsidRDefault="0091347C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91347C" w:rsidRPr="00951EA4" w:rsidRDefault="0091347C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51EA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91347C" w:rsidRPr="0091347C" w:rsidRDefault="0091347C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91347C" w:rsidRPr="00864C64" w:rsidRDefault="0055046B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DGAJ/</w:t>
            </w:r>
            <w:r w:rsidR="0062681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U.A.</w:t>
            </w:r>
            <w:r w:rsidR="0091347C"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4655" w:rsidRPr="00864C64" w:rsidTr="00734655">
        <w:trPr>
          <w:trHeight w:val="155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aplicables;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62681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RECURSOS HUMANOS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/CGAYCP</w:t>
            </w:r>
          </w:p>
        </w:tc>
      </w:tr>
      <w:tr w:rsidR="00734655" w:rsidRPr="00864C64" w:rsidTr="00734655">
        <w:trPr>
          <w:trHeight w:val="717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facultades de cada Área;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B25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64C64" w:rsidTr="00734655">
        <w:trPr>
          <w:trHeight w:val="103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metas y objetivos de las Áreas de conformidad con sus programas operativos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41D13" w:rsidTr="00734655">
        <w:trPr>
          <w:trHeight w:val="205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indicadores relacionados con temas de interés público o trascendencia social que conforme a sus funciones, deban establecer;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41D13" w:rsidRDefault="00734655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41D1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64C64" w:rsidTr="00734655">
        <w:trPr>
          <w:trHeight w:val="9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41D13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41D13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41D13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indicadores que permitan rendir cuenta de sus objetivos y resultados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64C64" w:rsidTr="00734655">
        <w:trPr>
          <w:trHeight w:val="715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</w:rPr>
              <w:t>VII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 directorio de todos los Servidores Públicos, a partir del nivel de jefe de departamento o su equivalente, o de menor nivel, cuando se brinde atención al público; manejen o apliquen recursos públicos; realicen actos de autoridad o presten servicios profesionales bajo el régimen de confianza u honorarios y personal de base. El directorio deberá incluir, al menos el nombre, cargo o nombramiento asignado, nivel del puesto en la estructura orgánica, fecha de alta en el cargo, número telefónico, domicilio para recibir correspondencia y dirección de correo electrónico oficiales;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RECRUSOS HUMANOS/CGAYCP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remuneración bruta y neta de todos los Servidores Públicos de base o de confianza, de todas las percepciones, incluyendo sueldos, prestaciones, gratificaciones, primas, comisiones, dietas, bonos, estímulos, ingresos y sistemas de compensación, señalando la periodicidad de dicha remuneración;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734655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 / En su caso, motivación y fundamentación de las razones por las cuales no generan o poseen la información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gastos de representación y viáticos, así como el objeto e informe de comisión correspondiente;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UNIDADES ADMINISTRATIVAS Y ÓRGANOS DESCONCENTRADOS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número total de las plazas y del personal de base y confianza, especificando el total de las vacantes, por nivel de puesto, para cada unidad administrativa;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RECURSOS HUMANO/CGAYCP</w:t>
            </w:r>
          </w:p>
        </w:tc>
      </w:tr>
      <w:tr w:rsidR="00734655" w:rsidRPr="00864C64" w:rsidTr="00734655">
        <w:trPr>
          <w:trHeight w:val="9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contrataciones de servicios profesionales por honorarios, señalando los nombres de los prestadores de servicios, los servicios contratados, el monto de los honorarios y el periodo de contratación;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RECURSOS HUMANOS/CGAYCP</w:t>
            </w:r>
          </w:p>
        </w:tc>
      </w:tr>
      <w:tr w:rsidR="00734655" w:rsidRPr="00864C64" w:rsidTr="00734655">
        <w:trPr>
          <w:trHeight w:val="88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en Versión Pública de las declaraciones patrimoniales de los Servidores Públicos que así lo determinen, en los sistemas habilitados para ello, de acuerdo a la normatividad aplicable;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41D13">
              <w:rPr>
                <w:rFonts w:ascii="Calibri" w:eastAsia="Times New Roman" w:hAnsi="Calibri" w:cs="Times New Roman"/>
                <w:color w:val="000000"/>
              </w:rPr>
              <w:t>RECURSOS HUMANOS</w:t>
            </w:r>
            <w:r w:rsidR="0055046B">
              <w:rPr>
                <w:rFonts w:ascii="Calibri" w:eastAsia="Times New Roman" w:hAnsi="Calibri" w:cs="Times New Roman"/>
                <w:color w:val="000000"/>
              </w:rPr>
              <w:t>/CGAYCP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domicilio de la Unidad de Transparencia, además de la dirección electrónica donde podrán recibirse las solicitudes para obtener la información;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41D13" w:rsidRDefault="00734655" w:rsidP="00841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41D1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</w:p>
        </w:tc>
      </w:tr>
      <w:tr w:rsidR="00734655" w:rsidRPr="00864C64" w:rsidTr="00734655">
        <w:trPr>
          <w:trHeight w:val="9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convocatorias a concursos para ocupar cargos públicos y los resultados de los mismos;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41D13" w:rsidRPr="00864C6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41D13">
              <w:rPr>
                <w:rFonts w:ascii="Calibri" w:eastAsia="Times New Roman" w:hAnsi="Calibri" w:cs="Times New Roman"/>
                <w:color w:val="000000"/>
              </w:rPr>
              <w:t>RECURSOS HUMANOS</w:t>
            </w:r>
            <w:r w:rsidR="0055046B">
              <w:rPr>
                <w:rFonts w:ascii="Calibri" w:eastAsia="Times New Roman" w:hAnsi="Calibri" w:cs="Times New Roman"/>
                <w:color w:val="000000"/>
              </w:rPr>
              <w:t>/CGAYCP</w:t>
            </w:r>
          </w:p>
        </w:tc>
      </w:tr>
      <w:tr w:rsidR="00734655" w:rsidRPr="00864C64" w:rsidTr="00734655">
        <w:trPr>
          <w:trHeight w:val="6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información de los programas de subsidios, estímulos y apoyos, en el que se deberá informar respecto de los programas de transferencia, de servicios, de infraestructura social y de subsidio, en los que se deberá contener lo siguiente: 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...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DESPACHO DEL TITULAR</w:t>
            </w:r>
          </w:p>
        </w:tc>
      </w:tr>
      <w:tr w:rsidR="00734655" w:rsidRPr="00864C64" w:rsidTr="00734655">
        <w:trPr>
          <w:trHeight w:val="15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 Las condiciones generales de trabajo, contratos o convenios que regulen las relaciones laborales del personal de base o de confianza, así como </w:t>
            </w:r>
            <w:r w:rsidRPr="00864C6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los recursos públicos económicos</w:t>
            </w:r>
            <w:r w:rsidRPr="00864C6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, en especie o donativos, que sean entregados a los sindicatos y ejerzan como recursos públicos;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RECURSOS HUMANOS/CGAYCP</w:t>
            </w:r>
          </w:p>
        </w:tc>
      </w:tr>
      <w:tr w:rsidR="00734655" w:rsidRPr="00864C64" w:rsidTr="00734655">
        <w:trPr>
          <w:trHeight w:val="6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 información curricular, desde el nivel de jefe de departamento o equivalente, hasta el titular del sujeto obligado, así como, en su caso, las sanciones administrativas de que haya sido objeto;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8130E8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RECURSOS HUMANOS</w:t>
            </w:r>
            <w:r w:rsidR="0055046B">
              <w:rPr>
                <w:rFonts w:ascii="Calibri" w:eastAsia="Times New Roman" w:hAnsi="Calibri" w:cs="Times New Roman"/>
                <w:color w:val="000000"/>
              </w:rPr>
              <w:t>/CGAYCP</w:t>
            </w:r>
            <w:r w:rsidR="00734655"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listado de Servidores Públicos con sanciones administrativas definitivas, especificando la causa de sanción y la disposición;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B25D93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RECURSOS HUMANOS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/CGAYCP</w:t>
            </w:r>
          </w:p>
        </w:tc>
      </w:tr>
      <w:tr w:rsidR="00734655" w:rsidRPr="00864C64" w:rsidTr="00734655">
        <w:trPr>
          <w:trHeight w:val="103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XIX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servicios que ofrecen señalando los requisitos para acceder a ellos;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813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130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DGN, DGBOYAE, DGG, DG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AA, COESPO, DGRC, UEPC </w:t>
            </w:r>
          </w:p>
        </w:tc>
      </w:tr>
      <w:tr w:rsidR="00734655" w:rsidRPr="00864C64" w:rsidTr="00734655">
        <w:trPr>
          <w:trHeight w:val="52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trámites, requisitos y formatos que ofrecen;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130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DGN, DGBOYAE, DGG, DG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AA, COESPO, DGRC, UEPC</w:t>
            </w:r>
          </w:p>
        </w:tc>
      </w:tr>
      <w:tr w:rsidR="00734655" w:rsidRPr="00864C64" w:rsidTr="00734655">
        <w:trPr>
          <w:trHeight w:val="15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financiera sobre el presupuesto asignado, así como los informes del ejercicio trimestral del gasto, en términos de la Ley General de Contabilidad Gubernamental y demás normatividad aplicable;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B25D93" w:rsidP="001F12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64C64" w:rsidTr="00734655">
        <w:trPr>
          <w:trHeight w:val="6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relativa a la deuda pública, en términos de la normatividad aplicable;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La SG no es </w:t>
            </w:r>
            <w:r w:rsidRPr="0055046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generadora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esta información ya que no se encuentra dentro de sus atribuciones, es la Secretaría de Hacienda del Estado de Sonora quien la genera.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En su caso,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atendiendo al principio de máxima publicad se crea un hipervínculo a la página web donde se encuentra la información al respecto.</w:t>
            </w:r>
          </w:p>
          <w:p w:rsidR="0055046B" w:rsidRDefault="0055046B" w:rsidP="0055046B">
            <w:pPr>
              <w:jc w:val="center"/>
            </w:pP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 (posee)</w:t>
            </w:r>
          </w:p>
          <w:p w:rsidR="0055046B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55046B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55046B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4655" w:rsidRPr="00864C64" w:rsidTr="00734655">
        <w:trPr>
          <w:trHeight w:val="9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montos destinados a gastos relativos a comunicación social y publicidad oficial desglosada por tipo de medio, proveedores, número de contrato y concepto o campaña;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64C64" w:rsidTr="00734655">
        <w:trPr>
          <w:trHeight w:val="9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informes de resultados de las auditorías al ejercicio presupuestal de cada sujeto obligado que se realicen y, en su caso, las aclaraciones que correspondan;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64C64" w:rsidTr="00734655">
        <w:trPr>
          <w:trHeight w:val="9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resultado de la dictaminación de los estados financieros;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55046B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La SG no es </w:t>
            </w:r>
            <w:r w:rsidRPr="0055046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generadora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esta información ya que no se encuentra dentro de sus atribuciones, es la Secretaría de Hacienda del Estado de Sonora quien la genera.</w:t>
            </w: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En su caso,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atendiendo al principio de máxima publicad se crea un hipervínculo a la página web donde se encuentra la información al respecto.</w:t>
            </w:r>
          </w:p>
          <w:p w:rsidR="00734655" w:rsidRDefault="00734655" w:rsidP="00734655">
            <w:pPr>
              <w:jc w:val="center"/>
            </w:pP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 (posee)</w:t>
            </w:r>
          </w:p>
        </w:tc>
      </w:tr>
      <w:tr w:rsidR="00734655" w:rsidRPr="00864C64" w:rsidTr="00734655">
        <w:trPr>
          <w:trHeight w:val="33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montos, criterios, convocatorias y listado de personas físicas o morales a quienes, por cualquier motivo, se les asigne o permita usar recursos públicos o, en los términos de las disposiciones aplicables, realicen actos de autoridad. Asimismo, los informes que dichas personas les entreguen sobre el uso y destino de dichos recursos;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55046B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plica</w:t>
            </w:r>
          </w:p>
          <w:p w:rsidR="0055046B" w:rsidRPr="0055046B" w:rsidRDefault="0055046B" w:rsidP="0055046B">
            <w:pPr>
              <w:jc w:val="center"/>
              <w:rPr>
                <w:sz w:val="20"/>
                <w:szCs w:val="20"/>
              </w:rPr>
            </w:pPr>
            <w:r w:rsidRPr="0055046B">
              <w:rPr>
                <w:sz w:val="20"/>
                <w:szCs w:val="20"/>
              </w:rPr>
              <w:t>De conformidad con el artículo 23 Fracciones I, II, III, y IV y demás aplicables de la Ley Orgánica del Poder Ejecutivo del Estado de Sonora, la presente información no es generada por este sujeto obligado.</w:t>
            </w:r>
          </w:p>
          <w:p w:rsidR="00734655" w:rsidRDefault="00734655" w:rsidP="0055046B"/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</w:p>
        </w:tc>
      </w:tr>
      <w:tr w:rsidR="00734655" w:rsidRPr="00864C64" w:rsidTr="00734655">
        <w:trPr>
          <w:trHeight w:val="27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concesiones, contratos, convenios, permisos, licencias o autorizaciones otorgados, especificando los titulares de aquéllos, debiendo publicarse su objeto, nombre o razón social del titular, vigencia, tipo, términos, condiciones, monto y modificaciones, así como si el procedimiento involucra el aprovechamiento de bienes, servicios y/o recursos públicos;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UEPC, DGG</w:t>
            </w:r>
          </w:p>
        </w:tc>
      </w:tr>
      <w:tr w:rsidR="00734655" w:rsidRPr="00864C64" w:rsidTr="00734655">
        <w:trPr>
          <w:trHeight w:val="21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sobre los resultados sobre procedimientos de adjudicación directa, invitación restringida y licitación de cualquier naturaleza, incluyendo la Versión Pública del Expediente respectivo y de los contratos celebrados, que deberá contener, por lo menos, lo siguiente: …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UNIDADES ADMINISTRATIVAS Y ÓRGANOS DESCONCENTRADOS/CGAYCP</w:t>
            </w:r>
          </w:p>
        </w:tc>
      </w:tr>
      <w:tr w:rsidR="00734655" w:rsidRPr="00864C64" w:rsidTr="00734655">
        <w:trPr>
          <w:trHeight w:val="103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XXIX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informes que por disposición legal generen los sujetos obligados;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DESPACHO DEL TITULAR</w:t>
            </w:r>
          </w:p>
        </w:tc>
      </w:tr>
      <w:tr w:rsidR="00734655" w:rsidRPr="00864C64" w:rsidTr="00734655">
        <w:trPr>
          <w:trHeight w:val="1800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estadísticas que generen en cumplimiento de sus facultades, competencias o funciones con la mayor desagregación posible;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plica </w:t>
            </w:r>
          </w:p>
          <w:p w:rsidR="0055046B" w:rsidRPr="0055046B" w:rsidRDefault="0055046B" w:rsidP="0055046B">
            <w:pPr>
              <w:jc w:val="center"/>
              <w:rPr>
                <w:sz w:val="20"/>
                <w:szCs w:val="20"/>
              </w:rPr>
            </w:pPr>
            <w:r w:rsidRPr="0055046B">
              <w:rPr>
                <w:sz w:val="20"/>
                <w:szCs w:val="20"/>
              </w:rPr>
              <w:t>De conformidad con el artículo 23 Fracciones I, II, III, y IV y demás aplicables de la Ley Orgánica del Poder Ejecutivo del Estado de Sonora, la presente información no es generada por este sujeto obligado.</w:t>
            </w:r>
          </w:p>
          <w:p w:rsidR="0055046B" w:rsidRDefault="0055046B" w:rsidP="0055046B">
            <w:pPr>
              <w:jc w:val="center"/>
            </w:pP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1425DC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  <w:r w:rsidR="00734655"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4655" w:rsidRPr="00864C64" w:rsidTr="00734655">
        <w:trPr>
          <w:trHeight w:val="18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Informe de avances programáticos o presupuestales, balances generales y su estado financiero;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55046B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La SG no es </w:t>
            </w:r>
            <w:r w:rsidRPr="0055046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generadora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esta información ya que no se encuentra dentro de sus atribuciones, es la Secretaría de Hacienda del Estado de Sonora quien la genera.</w:t>
            </w: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En su caso,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atendiendo al principio de máxima publicad se crea un hipervínculo a la página web donde se encuentra la información al respecto.</w:t>
            </w:r>
          </w:p>
          <w:p w:rsidR="00734655" w:rsidRDefault="00734655" w:rsidP="00734655">
            <w:pPr>
              <w:jc w:val="center"/>
            </w:pP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 (posee)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Padrón de proveedores y contratistas;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55046B" w:rsidRDefault="00BD653C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4655" w:rsidRPr="00864C64" w:rsidTr="00734655">
        <w:trPr>
          <w:trHeight w:val="15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convenios de coordinación de concertación con los sectores social y privado;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BD0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1425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DGAMI, UEPC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,DGRC</w:t>
            </w:r>
          </w:p>
        </w:tc>
      </w:tr>
      <w:tr w:rsidR="00734655" w:rsidRPr="00864C64" w:rsidTr="00734655">
        <w:trPr>
          <w:trHeight w:val="6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 inventario de bienes muebles e inmuebles en posesión y 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propiedad;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UNIDADES ADMINISTRATIVAS Y ÓRGANOS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DESCONCENTRADOS</w:t>
            </w:r>
            <w:bookmarkStart w:id="0" w:name="_GoBack"/>
            <w:bookmarkEnd w:id="0"/>
          </w:p>
        </w:tc>
      </w:tr>
      <w:tr w:rsidR="00734655" w:rsidRPr="00864C64" w:rsidTr="00734655">
        <w:trPr>
          <w:trHeight w:val="18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recomendaciones emitidas por los órganos públicos del Estado mexicano u organismos internacionales garantes de los derechos humanos, así como las acciones que han llevado a cabo para su atención;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UEPC</w:t>
            </w:r>
          </w:p>
        </w:tc>
      </w:tr>
      <w:tr w:rsidR="00734655" w:rsidRPr="00864C64" w:rsidTr="00734655">
        <w:trPr>
          <w:trHeight w:val="9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resoluciones y laudos que se emitan en procesos o procedimientos seguidos en forma de juicio;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plica </w:t>
            </w:r>
          </w:p>
          <w:p w:rsidR="0055046B" w:rsidRPr="0055046B" w:rsidRDefault="0055046B" w:rsidP="0055046B">
            <w:pPr>
              <w:jc w:val="center"/>
              <w:rPr>
                <w:sz w:val="20"/>
                <w:szCs w:val="20"/>
              </w:rPr>
            </w:pPr>
            <w:r w:rsidRPr="0055046B">
              <w:rPr>
                <w:sz w:val="20"/>
                <w:szCs w:val="20"/>
              </w:rPr>
              <w:t>De conformidad con el artículo 23 Fracciones I, II, III, y IV y demás aplicables de la Ley Orgánica del Poder Ejecutivo del Estado de Sonora, la presente información no es generada por este sujeto obligado.</w:t>
            </w:r>
          </w:p>
          <w:p w:rsidR="0055046B" w:rsidRDefault="0055046B" w:rsidP="0055046B">
            <w:pPr>
              <w:jc w:val="center"/>
            </w:pP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</w:p>
        </w:tc>
      </w:tr>
      <w:tr w:rsidR="00734655" w:rsidRPr="00864C64" w:rsidTr="00734655">
        <w:trPr>
          <w:trHeight w:val="15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mecanismos de participación ciudadana;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55046B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plica</w:t>
            </w:r>
          </w:p>
          <w:p w:rsidR="0055046B" w:rsidRPr="0055046B" w:rsidRDefault="0055046B" w:rsidP="0055046B">
            <w:pPr>
              <w:jc w:val="center"/>
              <w:rPr>
                <w:sz w:val="20"/>
                <w:szCs w:val="20"/>
              </w:rPr>
            </w:pPr>
            <w:r w:rsidRPr="0055046B">
              <w:rPr>
                <w:sz w:val="20"/>
                <w:szCs w:val="20"/>
              </w:rPr>
              <w:t xml:space="preserve">De conformidad con el artículo 23 Fracciones I, II, III, y IV y demás aplicables de la Ley Orgánica del Poder Ejecutivo del </w:t>
            </w:r>
            <w:r w:rsidRPr="0055046B">
              <w:rPr>
                <w:sz w:val="20"/>
                <w:szCs w:val="20"/>
              </w:rPr>
              <w:lastRenderedPageBreak/>
              <w:t>Estado de Sonora, la presente información no es generada por este sujeto obligado.</w:t>
            </w:r>
          </w:p>
          <w:p w:rsidR="00734655" w:rsidRDefault="00734655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  <w:p w:rsidR="0055046B" w:rsidRDefault="0055046B" w:rsidP="0055046B">
            <w:pPr>
              <w:jc w:val="center"/>
            </w:pP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  <w:r w:rsidR="00FA16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</w:p>
        </w:tc>
      </w:tr>
      <w:tr w:rsidR="00734655" w:rsidRPr="00864C64" w:rsidTr="00734655">
        <w:trPr>
          <w:trHeight w:val="6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programas que ofrecen, incluyendo información sobre la población, objetivo y destino, así como los trámites, tiempos de respuesta, requisitos y formatos para acceder a los mismos;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FA16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64C64" w:rsidTr="00734655">
        <w:trPr>
          <w:trHeight w:val="18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XXXIX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actas y resoluciones del Comité de Transparencia de los sujetos obligados;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FA16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</w:p>
        </w:tc>
      </w:tr>
      <w:tr w:rsidR="00734655" w:rsidRPr="00864C64" w:rsidTr="00734655">
        <w:trPr>
          <w:trHeight w:val="24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Todas las evaluaciones y encuestas que hagan los sujetos obligados a programas financiados con recursos públicos;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plica </w:t>
            </w:r>
          </w:p>
          <w:p w:rsidR="0055046B" w:rsidRPr="0055046B" w:rsidRDefault="0055046B" w:rsidP="0055046B">
            <w:pPr>
              <w:jc w:val="center"/>
              <w:rPr>
                <w:sz w:val="20"/>
                <w:szCs w:val="20"/>
              </w:rPr>
            </w:pPr>
            <w:r w:rsidRPr="0055046B">
              <w:rPr>
                <w:sz w:val="20"/>
                <w:szCs w:val="20"/>
              </w:rPr>
              <w:t>De conformidad con el artículo 23 Fracciones I, II, III, y IV y demás aplicables de la Ley Orgánica del Poder Ejecutivo del Estado de Sonora, la presente información no es generada por este sujeto obligado.</w:t>
            </w:r>
          </w:p>
          <w:p w:rsidR="0055046B" w:rsidRDefault="0055046B" w:rsidP="0055046B">
            <w:pPr>
              <w:jc w:val="center"/>
            </w:pP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FA163E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  <w:r w:rsidR="00734655"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4655" w:rsidRPr="00864C64" w:rsidTr="00734655">
        <w:trPr>
          <w:trHeight w:val="15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estudios financiados con recursos públicos;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plica </w:t>
            </w:r>
          </w:p>
          <w:p w:rsidR="0055046B" w:rsidRPr="0055046B" w:rsidRDefault="0055046B" w:rsidP="0055046B">
            <w:pPr>
              <w:jc w:val="center"/>
              <w:rPr>
                <w:sz w:val="20"/>
                <w:szCs w:val="20"/>
              </w:rPr>
            </w:pPr>
            <w:r w:rsidRPr="0055046B">
              <w:rPr>
                <w:sz w:val="20"/>
                <w:szCs w:val="20"/>
              </w:rPr>
              <w:t>De conformidad con el artículo 23 Fracciones I, II, III, y IV y demás aplicables de la Ley Orgánica del Poder Ejecutivo del Estado de Sonora, la presente información no es generada por este sujeto obligado.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FA163E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  <w:r w:rsidR="00734655"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listado de jubilados y pensionados y el monto que reciben;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Pr="0055046B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La SG no es </w:t>
            </w:r>
            <w:r w:rsidRPr="0055046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generadora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esta información ya que no se encuentra dentro de sus atribuciones,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 el ISSSTESON 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responsable de generar la información.</w:t>
            </w: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En</w:t>
            </w: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su caso,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atendiendo al principio de máxima publicad se crea un hipervínculo a la página web donde se encuen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tra la información al respecto.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55046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RH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ingresos recibidos por cualquier concepto señalando el nombre de los responsables de recibirlos, administrarlos y ejercerlos, así como su destino, indicando el destino de cada uno de ellos;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FA163E" w:rsidP="00FA16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DGRC, UEPC, DGBOYAE, DGN</w:t>
            </w:r>
          </w:p>
        </w:tc>
      </w:tr>
      <w:tr w:rsidR="00734655" w:rsidRPr="00864C64" w:rsidTr="00734655">
        <w:trPr>
          <w:trHeight w:val="15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Donaciones hechas a terceros en dinero o en especie;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plica </w:t>
            </w:r>
          </w:p>
          <w:p w:rsidR="0055046B" w:rsidRPr="0055046B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55046B">
              <w:rPr>
                <w:sz w:val="20"/>
                <w:szCs w:val="20"/>
              </w:rPr>
              <w:t>De conformidad con el artículo 23 Fracciones I, II, III, y IV y demás aplicables de la Ley Orgánica del Poder Ejecutivo del Estado de Sonora, la presente información no es generada por este sujeto obligado.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FA163E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</w:p>
        </w:tc>
      </w:tr>
      <w:tr w:rsidR="00734655" w:rsidRPr="00864C64" w:rsidTr="00734655">
        <w:trPr>
          <w:trHeight w:val="18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catálogo de disposición y guía de archivo documental;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CGAYCP</w:t>
            </w:r>
          </w:p>
        </w:tc>
      </w:tr>
      <w:tr w:rsidR="00734655" w:rsidRPr="00864C64" w:rsidTr="00734655">
        <w:trPr>
          <w:trHeight w:val="24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actas de sesiones ordinarias y extraordinarias, así como las opiniones y recomendaciones que emitan, en su caso, los consejos consultivos (Artículo 47 de la LG);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plica </w:t>
            </w:r>
          </w:p>
          <w:p w:rsidR="0055046B" w:rsidRDefault="0055046B" w:rsidP="0055046B">
            <w:pPr>
              <w:jc w:val="center"/>
            </w:pPr>
            <w:r w:rsidRPr="0055046B">
              <w:rPr>
                <w:sz w:val="20"/>
                <w:szCs w:val="20"/>
              </w:rPr>
              <w:t>De conformidad con el artículo 23 Fracciones I, II, III, y IV y demás aplicables de la Ley Orgánica del Poder Ejecutivo del Estado de Sonora, la presente información no es generada por este sujeto obligado.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BD009E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</w:p>
        </w:tc>
      </w:tr>
      <w:tr w:rsidR="00734655" w:rsidRPr="00864C64" w:rsidTr="00734655">
        <w:trPr>
          <w:trHeight w:val="543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Para efectos estadísticos, el listado de solicitudes a las empresas concesionarias de telecomunicaciones y proveedores de servicios o aplicaciones de Internet para la intervención de comunicaciones privadas, el acceso al registro de comunicaciones y la localización geográfica en tiempo real de equipos de comunicación, que </w:t>
            </w: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contenga exclusivamente el objeto, el alcance temporal y los fundamentos legales del requerimiento, así como, en su caso, la mención de que cuenta con la autorización judicial correspondiente, y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No a</w:t>
            </w:r>
            <w:r w:rsidR="00734655"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plica </w:t>
            </w:r>
          </w:p>
          <w:p w:rsidR="0055046B" w:rsidRDefault="0055046B" w:rsidP="0055046B">
            <w:pPr>
              <w:jc w:val="center"/>
            </w:pPr>
            <w:r w:rsidRPr="0055046B">
              <w:rPr>
                <w:sz w:val="20"/>
                <w:szCs w:val="20"/>
              </w:rPr>
              <w:t>De conformidad con el artículo 23 Fracciones I, II, III, y IV y demás aplicables de la Ley Orgánica del Poder Ejecutivo del Estado de Sonora, la presente información no es generada por este sujeto obligado.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1D2DF7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</w:t>
            </w:r>
            <w:r w:rsidR="00734655"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4655" w:rsidRPr="00864C64" w:rsidTr="00734655">
        <w:trPr>
          <w:trHeight w:val="121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XLVIII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Cualquier otra información que sea de utilidad o se considere relevante, además de la que, con base en la información estadística, responda a las preguntas hechas con más frecuencia por el público.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734655" w:rsidRDefault="00734655" w:rsidP="0055046B">
            <w:pPr>
              <w:jc w:val="center"/>
            </w:pPr>
            <w:r w:rsidRPr="00A520E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1D2DF7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TRANSPARENCIA, ABIERTO A UNIDADES ADMINISTRATIVAS</w:t>
            </w:r>
            <w:r w:rsidR="00734655"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4655" w:rsidRPr="00864C64" w:rsidTr="00734655">
        <w:trPr>
          <w:trHeight w:val="4095"/>
        </w:trPr>
        <w:tc>
          <w:tcPr>
            <w:tcW w:w="367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Último párrafo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734655" w:rsidRPr="0055046B" w:rsidRDefault="00734655" w:rsidP="00550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sujetos obligados deberán informar a los Organismos garantes y verificar que se publiquen en la Plataforma Nacional, cuáles son los rubros que son aplicables a sus páginas de Internet, con el objeto de que éstos verifiquen y aprueben, de forma fundada y motivada, la relación de fracciones ap</w:t>
            </w:r>
            <w:r w:rsidR="005504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licables a cada sujeto obligado.</w:t>
            </w:r>
          </w:p>
        </w:tc>
        <w:tc>
          <w:tcPr>
            <w:tcW w:w="1090" w:type="pct"/>
            <w:shd w:val="clear" w:color="000000" w:fill="FFFFFF"/>
            <w:vAlign w:val="center"/>
            <w:hideMark/>
          </w:tcPr>
          <w:p w:rsidR="0055046B" w:rsidRPr="0055046B" w:rsidRDefault="0055046B" w:rsidP="0055046B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21" w:type="pct"/>
            <w:shd w:val="clear" w:color="000000" w:fill="FFFFFF"/>
            <w:vAlign w:val="center"/>
            <w:hideMark/>
          </w:tcPr>
          <w:p w:rsidR="00734655" w:rsidRPr="00864C64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64C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1D2D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</w:p>
        </w:tc>
      </w:tr>
    </w:tbl>
    <w:p w:rsidR="00864C64" w:rsidRDefault="00864C64" w:rsidP="00534D6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60497A"/>
        </w:rPr>
      </w:pPr>
    </w:p>
    <w:sectPr w:rsidR="00864C64" w:rsidSect="007F33D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71C"/>
    <w:multiLevelType w:val="hybridMultilevel"/>
    <w:tmpl w:val="D7987D7E"/>
    <w:lvl w:ilvl="0" w:tplc="7C04359A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20C28"/>
    <w:multiLevelType w:val="hybridMultilevel"/>
    <w:tmpl w:val="17DA54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A5BAE"/>
    <w:multiLevelType w:val="hybridMultilevel"/>
    <w:tmpl w:val="41303510"/>
    <w:lvl w:ilvl="0" w:tplc="F7504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2464"/>
    <w:multiLevelType w:val="hybridMultilevel"/>
    <w:tmpl w:val="8836EE88"/>
    <w:lvl w:ilvl="0" w:tplc="C8644264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3753D8"/>
    <w:multiLevelType w:val="hybridMultilevel"/>
    <w:tmpl w:val="C00E8F80"/>
    <w:lvl w:ilvl="0" w:tplc="288017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71DC9"/>
    <w:multiLevelType w:val="hybridMultilevel"/>
    <w:tmpl w:val="3D7C12D8"/>
    <w:lvl w:ilvl="0" w:tplc="106A389C">
      <w:start w:val="1"/>
      <w:numFmt w:val="lowerLetter"/>
      <w:lvlText w:val="%1)"/>
      <w:lvlJc w:val="left"/>
      <w:pPr>
        <w:ind w:left="573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293" w:hanging="360"/>
      </w:pPr>
    </w:lvl>
    <w:lvl w:ilvl="2" w:tplc="080A001B" w:tentative="1">
      <w:start w:val="1"/>
      <w:numFmt w:val="lowerRoman"/>
      <w:lvlText w:val="%3."/>
      <w:lvlJc w:val="right"/>
      <w:pPr>
        <w:ind w:left="2013" w:hanging="180"/>
      </w:pPr>
    </w:lvl>
    <w:lvl w:ilvl="3" w:tplc="080A000F" w:tentative="1">
      <w:start w:val="1"/>
      <w:numFmt w:val="decimal"/>
      <w:lvlText w:val="%4."/>
      <w:lvlJc w:val="left"/>
      <w:pPr>
        <w:ind w:left="2733" w:hanging="360"/>
      </w:pPr>
    </w:lvl>
    <w:lvl w:ilvl="4" w:tplc="080A0019" w:tentative="1">
      <w:start w:val="1"/>
      <w:numFmt w:val="lowerLetter"/>
      <w:lvlText w:val="%5."/>
      <w:lvlJc w:val="left"/>
      <w:pPr>
        <w:ind w:left="3453" w:hanging="360"/>
      </w:pPr>
    </w:lvl>
    <w:lvl w:ilvl="5" w:tplc="080A001B" w:tentative="1">
      <w:start w:val="1"/>
      <w:numFmt w:val="lowerRoman"/>
      <w:lvlText w:val="%6."/>
      <w:lvlJc w:val="right"/>
      <w:pPr>
        <w:ind w:left="4173" w:hanging="180"/>
      </w:pPr>
    </w:lvl>
    <w:lvl w:ilvl="6" w:tplc="080A000F" w:tentative="1">
      <w:start w:val="1"/>
      <w:numFmt w:val="decimal"/>
      <w:lvlText w:val="%7."/>
      <w:lvlJc w:val="left"/>
      <w:pPr>
        <w:ind w:left="4893" w:hanging="360"/>
      </w:pPr>
    </w:lvl>
    <w:lvl w:ilvl="7" w:tplc="080A0019" w:tentative="1">
      <w:start w:val="1"/>
      <w:numFmt w:val="lowerLetter"/>
      <w:lvlText w:val="%8."/>
      <w:lvlJc w:val="left"/>
      <w:pPr>
        <w:ind w:left="5613" w:hanging="360"/>
      </w:pPr>
    </w:lvl>
    <w:lvl w:ilvl="8" w:tplc="080A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>
    <w:nsid w:val="3B9C0C74"/>
    <w:multiLevelType w:val="hybridMultilevel"/>
    <w:tmpl w:val="E67CE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C37B8"/>
    <w:multiLevelType w:val="hybridMultilevel"/>
    <w:tmpl w:val="7D162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77A05"/>
    <w:multiLevelType w:val="hybridMultilevel"/>
    <w:tmpl w:val="C8448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86C33"/>
    <w:multiLevelType w:val="hybridMultilevel"/>
    <w:tmpl w:val="344A57F8"/>
    <w:lvl w:ilvl="0" w:tplc="5D76D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96019"/>
    <w:multiLevelType w:val="hybridMultilevel"/>
    <w:tmpl w:val="13E6C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F6612"/>
    <w:multiLevelType w:val="hybridMultilevel"/>
    <w:tmpl w:val="09380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119B4"/>
    <w:multiLevelType w:val="hybridMultilevel"/>
    <w:tmpl w:val="3048C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75918"/>
    <w:multiLevelType w:val="hybridMultilevel"/>
    <w:tmpl w:val="8098E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2"/>
  </w:num>
  <w:num w:numId="5">
    <w:abstractNumId w:val="13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D8"/>
    <w:rsid w:val="000060D6"/>
    <w:rsid w:val="00041749"/>
    <w:rsid w:val="00056175"/>
    <w:rsid w:val="000B328D"/>
    <w:rsid w:val="001112FB"/>
    <w:rsid w:val="001425DC"/>
    <w:rsid w:val="00164E99"/>
    <w:rsid w:val="001C7363"/>
    <w:rsid w:val="001D2DF7"/>
    <w:rsid w:val="001D4947"/>
    <w:rsid w:val="001F1261"/>
    <w:rsid w:val="00222986"/>
    <w:rsid w:val="00262C53"/>
    <w:rsid w:val="00264138"/>
    <w:rsid w:val="0028212D"/>
    <w:rsid w:val="002962D2"/>
    <w:rsid w:val="002D2629"/>
    <w:rsid w:val="00305729"/>
    <w:rsid w:val="003153C7"/>
    <w:rsid w:val="003171E0"/>
    <w:rsid w:val="003315C6"/>
    <w:rsid w:val="00402FB8"/>
    <w:rsid w:val="00415002"/>
    <w:rsid w:val="004204CA"/>
    <w:rsid w:val="00423135"/>
    <w:rsid w:val="004679BE"/>
    <w:rsid w:val="004B6085"/>
    <w:rsid w:val="00532199"/>
    <w:rsid w:val="00534D62"/>
    <w:rsid w:val="0055046B"/>
    <w:rsid w:val="00554264"/>
    <w:rsid w:val="005E3AFE"/>
    <w:rsid w:val="00614EB8"/>
    <w:rsid w:val="00626811"/>
    <w:rsid w:val="00626E5C"/>
    <w:rsid w:val="00643FF6"/>
    <w:rsid w:val="00657554"/>
    <w:rsid w:val="00667E9A"/>
    <w:rsid w:val="00686F88"/>
    <w:rsid w:val="006C7D33"/>
    <w:rsid w:val="006D28AA"/>
    <w:rsid w:val="006E43B3"/>
    <w:rsid w:val="006E4D1D"/>
    <w:rsid w:val="007031F8"/>
    <w:rsid w:val="0071003C"/>
    <w:rsid w:val="00730B2B"/>
    <w:rsid w:val="00734655"/>
    <w:rsid w:val="007F33D8"/>
    <w:rsid w:val="008053C9"/>
    <w:rsid w:val="008070E6"/>
    <w:rsid w:val="008130E8"/>
    <w:rsid w:val="00841D13"/>
    <w:rsid w:val="00864C64"/>
    <w:rsid w:val="00864E59"/>
    <w:rsid w:val="00880D48"/>
    <w:rsid w:val="008D3747"/>
    <w:rsid w:val="009016E5"/>
    <w:rsid w:val="0091347C"/>
    <w:rsid w:val="00913825"/>
    <w:rsid w:val="00922E7F"/>
    <w:rsid w:val="00926FAD"/>
    <w:rsid w:val="00951EA4"/>
    <w:rsid w:val="00970527"/>
    <w:rsid w:val="00970893"/>
    <w:rsid w:val="00982F88"/>
    <w:rsid w:val="009901F6"/>
    <w:rsid w:val="009A025C"/>
    <w:rsid w:val="009A3AF4"/>
    <w:rsid w:val="009C25DB"/>
    <w:rsid w:val="009E405E"/>
    <w:rsid w:val="00A02588"/>
    <w:rsid w:val="00A16C8A"/>
    <w:rsid w:val="00A52B2A"/>
    <w:rsid w:val="00A5446D"/>
    <w:rsid w:val="00A63C3E"/>
    <w:rsid w:val="00A83D2C"/>
    <w:rsid w:val="00A94C08"/>
    <w:rsid w:val="00AC7ABA"/>
    <w:rsid w:val="00AD413E"/>
    <w:rsid w:val="00AD574B"/>
    <w:rsid w:val="00B04730"/>
    <w:rsid w:val="00B2460F"/>
    <w:rsid w:val="00B25D93"/>
    <w:rsid w:val="00B366FD"/>
    <w:rsid w:val="00B43A8D"/>
    <w:rsid w:val="00B744CC"/>
    <w:rsid w:val="00BA26B3"/>
    <w:rsid w:val="00BA3CD1"/>
    <w:rsid w:val="00BC0E34"/>
    <w:rsid w:val="00BD009E"/>
    <w:rsid w:val="00BD653C"/>
    <w:rsid w:val="00C6302E"/>
    <w:rsid w:val="00C66099"/>
    <w:rsid w:val="00D4271F"/>
    <w:rsid w:val="00D51BE0"/>
    <w:rsid w:val="00DA6791"/>
    <w:rsid w:val="00DC6732"/>
    <w:rsid w:val="00E04926"/>
    <w:rsid w:val="00E22E14"/>
    <w:rsid w:val="00E35101"/>
    <w:rsid w:val="00E4524D"/>
    <w:rsid w:val="00E81A04"/>
    <w:rsid w:val="00EB76C4"/>
    <w:rsid w:val="00EE16DF"/>
    <w:rsid w:val="00EE33B7"/>
    <w:rsid w:val="00EF44D8"/>
    <w:rsid w:val="00F307FE"/>
    <w:rsid w:val="00F50015"/>
    <w:rsid w:val="00F509A5"/>
    <w:rsid w:val="00F55EA1"/>
    <w:rsid w:val="00F81885"/>
    <w:rsid w:val="00F97083"/>
    <w:rsid w:val="00FA163E"/>
    <w:rsid w:val="00FE4A42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4DB487-39B2-4684-9D07-7FFBA88A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B76C4"/>
    <w:pPr>
      <w:widowControl w:val="0"/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locked/>
    <w:rsid w:val="00EB76C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A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33D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33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F33D8"/>
    <w:pPr>
      <w:spacing w:after="200"/>
      <w:ind w:left="360" w:firstLine="360"/>
    </w:pPr>
    <w:rPr>
      <w:rFonts w:eastAsiaTheme="minorHAnsi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F33D8"/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F33D8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F33D8"/>
    <w:rPr>
      <w:rFonts w:eastAsiaTheme="minorHAnsi"/>
      <w:lang w:eastAsia="en-US"/>
    </w:rPr>
  </w:style>
  <w:style w:type="character" w:customStyle="1" w:styleId="apple-converted-space">
    <w:name w:val="apple-converted-space"/>
    <w:basedOn w:val="Fuentedeprrafopredeter"/>
    <w:rsid w:val="0053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421F-1FBF-473E-B979-0CF1E3CE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2303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Especialistas</dc:creator>
  <cp:lastModifiedBy>Usuario de Windows</cp:lastModifiedBy>
  <cp:revision>2</cp:revision>
  <cp:lastPrinted>2018-04-17T17:27:00Z</cp:lastPrinted>
  <dcterms:created xsi:type="dcterms:W3CDTF">2018-04-17T17:30:00Z</dcterms:created>
  <dcterms:modified xsi:type="dcterms:W3CDTF">2018-04-17T17:30:00Z</dcterms:modified>
</cp:coreProperties>
</file>